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Pr="00C476FC" w:rsidRDefault="00D131A0">
      <w:pPr>
        <w:spacing w:before="182" w:line="235" w:lineRule="auto"/>
        <w:ind w:left="720" w:right="4996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It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is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important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your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grant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is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used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effectively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based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on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need.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Education</w:t>
      </w:r>
      <w:r w:rsidRPr="00C476FC">
        <w:rPr>
          <w:color w:val="205E9E"/>
          <w:spacing w:val="-11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Inspection</w:t>
      </w:r>
      <w:r w:rsidRPr="00C476FC">
        <w:rPr>
          <w:color w:val="205E9E"/>
          <w:spacing w:val="-10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Framework</w:t>
      </w:r>
      <w:r w:rsidRPr="00C476FC">
        <w:rPr>
          <w:color w:val="205E9E"/>
          <w:spacing w:val="-5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makes clear there will be a focus on </w:t>
      </w:r>
      <w:r w:rsidRPr="00C476FC">
        <w:rPr>
          <w:b/>
          <w:color w:val="231F20"/>
          <w:sz w:val="20"/>
          <w:szCs w:val="20"/>
        </w:rPr>
        <w:t>‘whether leaders and those responsible for governors all understand their</w:t>
      </w:r>
      <w:r w:rsidRPr="00C476FC">
        <w:rPr>
          <w:b/>
          <w:color w:val="231F20"/>
          <w:spacing w:val="-53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respective</w:t>
      </w:r>
      <w:r w:rsidRPr="00C476FC">
        <w:rPr>
          <w:b/>
          <w:color w:val="231F20"/>
          <w:spacing w:val="-3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roles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and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perform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these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in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a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way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that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enhances</w:t>
      </w:r>
      <w:r w:rsidRPr="00C476FC">
        <w:rPr>
          <w:b/>
          <w:color w:val="231F20"/>
          <w:spacing w:val="-2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the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effectiveness</w:t>
      </w:r>
      <w:r w:rsidRPr="00C476FC">
        <w:rPr>
          <w:b/>
          <w:color w:val="231F20"/>
          <w:spacing w:val="-3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of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the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school’</w:t>
      </w:r>
      <w:r w:rsidRPr="00C476FC">
        <w:rPr>
          <w:color w:val="231F20"/>
          <w:sz w:val="20"/>
          <w:szCs w:val="20"/>
        </w:rPr>
        <w:t>.</w:t>
      </w:r>
    </w:p>
    <w:p w14:paraId="2FCE8005" w14:textId="77777777" w:rsidR="00C658FB" w:rsidRPr="00C476FC" w:rsidRDefault="00C658FB">
      <w:pPr>
        <w:pStyle w:val="BodyText"/>
        <w:spacing w:before="5"/>
        <w:rPr>
          <w:sz w:val="20"/>
          <w:szCs w:val="20"/>
        </w:rPr>
      </w:pPr>
    </w:p>
    <w:p w14:paraId="20121FBA" w14:textId="77777777" w:rsidR="00C658FB" w:rsidRPr="00C476FC" w:rsidRDefault="00D131A0">
      <w:pPr>
        <w:pStyle w:val="BodyText"/>
        <w:spacing w:line="290" w:lineRule="exact"/>
        <w:ind w:left="720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Under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Quality</w:t>
      </w:r>
      <w:r w:rsidRPr="00C476FC">
        <w:rPr>
          <w:color w:val="205E9E"/>
          <w:spacing w:val="-6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of</w:t>
      </w:r>
      <w:r w:rsidRPr="00C476FC">
        <w:rPr>
          <w:color w:val="205E9E"/>
          <w:spacing w:val="-7"/>
          <w:sz w:val="20"/>
          <w:szCs w:val="20"/>
          <w:u w:val="single" w:color="205E9E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Education</w:t>
      </w:r>
      <w:r w:rsidRPr="00C476FC">
        <w:rPr>
          <w:color w:val="205E9E"/>
          <w:spacing w:val="-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Ofsted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inspectors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consider:</w:t>
      </w:r>
    </w:p>
    <w:p w14:paraId="7257E93A" w14:textId="77777777" w:rsidR="00C658FB" w:rsidRPr="00C476FC" w:rsidRDefault="00D131A0">
      <w:pPr>
        <w:pStyle w:val="BodyText"/>
        <w:spacing w:line="288" w:lineRule="exact"/>
        <w:ind w:left="720"/>
        <w:rPr>
          <w:sz w:val="20"/>
          <w:szCs w:val="20"/>
        </w:rPr>
      </w:pPr>
      <w:r w:rsidRPr="00C476FC">
        <w:rPr>
          <w:b/>
          <w:color w:val="231F20"/>
          <w:sz w:val="20"/>
          <w:szCs w:val="20"/>
        </w:rPr>
        <w:t>Intent</w:t>
      </w:r>
      <w:r w:rsidRPr="00C476FC">
        <w:rPr>
          <w:b/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-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Curriculum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design,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coverage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appropriateness</w:t>
      </w:r>
    </w:p>
    <w:p w14:paraId="319B3AED" w14:textId="77777777" w:rsidR="00C658FB" w:rsidRPr="00C476FC" w:rsidRDefault="00D131A0">
      <w:pPr>
        <w:spacing w:line="288" w:lineRule="exact"/>
        <w:ind w:left="720"/>
        <w:rPr>
          <w:sz w:val="20"/>
          <w:szCs w:val="20"/>
        </w:rPr>
      </w:pPr>
      <w:r w:rsidRPr="00C476FC">
        <w:rPr>
          <w:b/>
          <w:color w:val="231F20"/>
          <w:sz w:val="20"/>
          <w:szCs w:val="20"/>
        </w:rPr>
        <w:t>Implementation</w:t>
      </w:r>
      <w:r w:rsidRPr="00C476FC">
        <w:rPr>
          <w:b/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-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Curriculum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delivery,</w:t>
      </w:r>
      <w:r w:rsidRPr="00C476FC">
        <w:rPr>
          <w:color w:val="231F20"/>
          <w:spacing w:val="-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Teaching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(pedagogy)</w:t>
      </w:r>
      <w:r w:rsidRPr="00C476FC">
        <w:rPr>
          <w:color w:val="231F20"/>
          <w:spacing w:val="-1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Assessment</w:t>
      </w:r>
    </w:p>
    <w:p w14:paraId="2B305C75" w14:textId="77777777" w:rsidR="00C658FB" w:rsidRPr="00C476FC" w:rsidRDefault="00D131A0">
      <w:pPr>
        <w:spacing w:line="290" w:lineRule="exact"/>
        <w:ind w:left="720"/>
        <w:rPr>
          <w:sz w:val="20"/>
          <w:szCs w:val="20"/>
        </w:rPr>
      </w:pPr>
      <w:r w:rsidRPr="00C476FC">
        <w:rPr>
          <w:b/>
          <w:color w:val="231F20"/>
          <w:sz w:val="20"/>
          <w:szCs w:val="20"/>
        </w:rPr>
        <w:t>Impact</w:t>
      </w:r>
      <w:r w:rsidRPr="00C476FC">
        <w:rPr>
          <w:b/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-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Attainment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progress</w:t>
      </w:r>
    </w:p>
    <w:p w14:paraId="7957BD7B" w14:textId="77777777" w:rsidR="00C658FB" w:rsidRPr="00C476FC" w:rsidRDefault="00C658FB">
      <w:pPr>
        <w:pStyle w:val="BodyText"/>
        <w:spacing w:before="7"/>
        <w:rPr>
          <w:sz w:val="20"/>
          <w:szCs w:val="20"/>
        </w:rPr>
      </w:pPr>
    </w:p>
    <w:p w14:paraId="360D14BD" w14:textId="77777777" w:rsidR="00C658FB" w:rsidRPr="00C476FC" w:rsidRDefault="00D131A0">
      <w:pPr>
        <w:pStyle w:val="BodyText"/>
        <w:spacing w:line="235" w:lineRule="auto"/>
        <w:ind w:left="720" w:right="5276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To assist schools with common transferable language this template has been developed to utilise the same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three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headings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which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make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your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plans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easily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transferable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between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working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documents.</w:t>
      </w:r>
    </w:p>
    <w:p w14:paraId="2EE176A5" w14:textId="77777777" w:rsidR="00C658FB" w:rsidRPr="00C476FC" w:rsidRDefault="00C658FB">
      <w:pPr>
        <w:pStyle w:val="BodyText"/>
        <w:spacing w:before="9"/>
        <w:rPr>
          <w:sz w:val="20"/>
          <w:szCs w:val="20"/>
        </w:rPr>
      </w:pPr>
    </w:p>
    <w:p w14:paraId="1A916592" w14:textId="77777777" w:rsidR="00C658FB" w:rsidRPr="00C476FC" w:rsidRDefault="00D131A0">
      <w:pPr>
        <w:pStyle w:val="BodyText"/>
        <w:spacing w:line="235" w:lineRule="auto"/>
        <w:ind w:left="719" w:right="5275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 xml:space="preserve">Schools    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must    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use    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the      funding      to      make      </w:t>
      </w:r>
      <w:r w:rsidRPr="00C476FC">
        <w:rPr>
          <w:b/>
          <w:color w:val="231F20"/>
          <w:sz w:val="20"/>
          <w:szCs w:val="20"/>
        </w:rPr>
        <w:t xml:space="preserve">additional      and      sustainable      </w:t>
      </w:r>
      <w:r w:rsidRPr="00C476FC">
        <w:rPr>
          <w:color w:val="231F20"/>
          <w:sz w:val="20"/>
          <w:szCs w:val="20"/>
        </w:rPr>
        <w:t>improvements</w:t>
      </w:r>
      <w:r w:rsidRPr="00C476FC">
        <w:rPr>
          <w:color w:val="231F20"/>
          <w:spacing w:val="-5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to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the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quality   </w:t>
      </w:r>
      <w:r w:rsidRPr="00C476FC">
        <w:rPr>
          <w:color w:val="231F20"/>
          <w:spacing w:val="3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of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Physical   </w:t>
      </w:r>
      <w:r w:rsidRPr="00C476FC">
        <w:rPr>
          <w:color w:val="231F20"/>
          <w:spacing w:val="38"/>
          <w:sz w:val="20"/>
          <w:szCs w:val="20"/>
        </w:rPr>
        <w:t xml:space="preserve"> </w:t>
      </w:r>
      <w:proofErr w:type="gramStart"/>
      <w:r w:rsidRPr="00C476FC">
        <w:rPr>
          <w:color w:val="231F20"/>
          <w:sz w:val="20"/>
          <w:szCs w:val="20"/>
        </w:rPr>
        <w:t xml:space="preserve">Education,   </w:t>
      </w:r>
      <w:proofErr w:type="gramEnd"/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School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Sport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and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Physical    </w:t>
      </w:r>
      <w:r w:rsidRPr="00C476FC">
        <w:rPr>
          <w:color w:val="231F20"/>
          <w:spacing w:val="3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Activity    </w:t>
      </w:r>
      <w:r w:rsidRPr="00C476FC">
        <w:rPr>
          <w:color w:val="231F20"/>
          <w:spacing w:val="3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(PESSPA)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they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offer.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This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means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2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use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Primary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sport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premium</w:t>
      </w:r>
      <w:r w:rsidRPr="00C476FC">
        <w:rPr>
          <w:color w:val="231F20"/>
          <w:spacing w:val="2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to:</w:t>
      </w:r>
    </w:p>
    <w:p w14:paraId="56F24C68" w14:textId="77777777" w:rsidR="00C658FB" w:rsidRPr="00C476FC" w:rsidRDefault="00C658FB">
      <w:pPr>
        <w:pStyle w:val="BodyText"/>
        <w:spacing w:before="5"/>
        <w:rPr>
          <w:sz w:val="20"/>
          <w:szCs w:val="20"/>
        </w:rPr>
      </w:pPr>
    </w:p>
    <w:p w14:paraId="286A1EBB" w14:textId="77777777" w:rsidR="00C658FB" w:rsidRPr="00C476FC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Develop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or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add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7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PESSPA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activities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your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already</w:t>
      </w:r>
      <w:r w:rsidRPr="00C476FC">
        <w:rPr>
          <w:color w:val="231F20"/>
          <w:spacing w:val="-6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offer</w:t>
      </w:r>
    </w:p>
    <w:p w14:paraId="0A29A376" w14:textId="77777777" w:rsidR="00C658FB" w:rsidRPr="00C476FC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Build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capacity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capability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within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ensure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that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improvements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made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now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will</w:t>
      </w:r>
      <w:r w:rsidRPr="00C476FC">
        <w:rPr>
          <w:color w:val="231F20"/>
          <w:spacing w:val="-3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benefit</w:t>
      </w:r>
      <w:r w:rsidRPr="00C476FC">
        <w:rPr>
          <w:color w:val="231F20"/>
          <w:spacing w:val="-5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pupils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joining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 school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in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future years</w:t>
      </w:r>
    </w:p>
    <w:p w14:paraId="7A7089D4" w14:textId="77777777" w:rsidR="00C658FB" w:rsidRPr="00C476FC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Primary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sport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premium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not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be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used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fund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capital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spend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projects;</w:t>
      </w:r>
      <w:r w:rsidRPr="00C476FC">
        <w:rPr>
          <w:color w:val="231F20"/>
          <w:spacing w:val="-5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school’s</w:t>
      </w:r>
      <w:r w:rsidRPr="00C476FC">
        <w:rPr>
          <w:color w:val="231F20"/>
          <w:spacing w:val="-5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budget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should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fund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these.</w:t>
      </w:r>
    </w:p>
    <w:p w14:paraId="4A649169" w14:textId="77777777" w:rsidR="00C658FB" w:rsidRPr="00C476FC" w:rsidRDefault="00C658FB">
      <w:pPr>
        <w:pStyle w:val="BodyText"/>
        <w:spacing w:before="9"/>
        <w:rPr>
          <w:sz w:val="20"/>
          <w:szCs w:val="20"/>
        </w:rPr>
      </w:pPr>
    </w:p>
    <w:p w14:paraId="0F2B4BAE" w14:textId="30014512" w:rsidR="00C658FB" w:rsidRPr="00C476FC" w:rsidRDefault="00D131A0">
      <w:pPr>
        <w:pStyle w:val="BodyText"/>
        <w:spacing w:line="235" w:lineRule="auto"/>
        <w:ind w:left="720" w:right="4981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Pleasevisit</w:t>
      </w:r>
      <w:r w:rsidRPr="00C476FC">
        <w:rPr>
          <w:color w:val="205E9E"/>
          <w:sz w:val="20"/>
          <w:szCs w:val="20"/>
          <w:u w:val="single" w:color="205E9E"/>
        </w:rPr>
        <w:t>gov.uk</w:t>
      </w:r>
      <w:r w:rsidRPr="00C476FC">
        <w:rPr>
          <w:color w:val="231F20"/>
          <w:sz w:val="20"/>
          <w:szCs w:val="20"/>
        </w:rPr>
        <w:t>fortherevisedDfEguidanceincludingthe5keyindicatorsacrosswhichschoolsshoulddemonstrate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improvement.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This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document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will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help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proofErr w:type="gramStart"/>
      <w:r w:rsidRPr="00C476FC">
        <w:rPr>
          <w:color w:val="231F20"/>
          <w:spacing w:val="-1"/>
          <w:sz w:val="20"/>
          <w:szCs w:val="20"/>
        </w:rPr>
        <w:t>you</w:t>
      </w:r>
      <w:proofErr w:type="gramEnd"/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proofErr w:type="spellStart"/>
      <w:r w:rsidRPr="00C476FC">
        <w:rPr>
          <w:color w:val="231F20"/>
          <w:spacing w:val="-1"/>
          <w:sz w:val="20"/>
          <w:szCs w:val="20"/>
        </w:rPr>
        <w:t>t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</w:t>
      </w:r>
      <w:proofErr w:type="spellEnd"/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review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your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provision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and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to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report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your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spend.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DfE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encourages</w:t>
      </w:r>
      <w:r w:rsidR="00C476FC"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schools</w:t>
      </w:r>
      <w:r w:rsidRPr="00C476FC">
        <w:rPr>
          <w:color w:val="231F20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to</w:t>
      </w:r>
      <w:r w:rsidRPr="00C476FC">
        <w:rPr>
          <w:color w:val="231F20"/>
          <w:spacing w:val="-2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use</w:t>
      </w:r>
      <w:r w:rsidRPr="00C476FC">
        <w:rPr>
          <w:color w:val="231F20"/>
          <w:spacing w:val="-2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this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template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as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effective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way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of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meeting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reporting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requirements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of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Primary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PE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sport</w:t>
      </w:r>
      <w:r w:rsidRPr="00C476FC">
        <w:rPr>
          <w:color w:val="231F20"/>
          <w:spacing w:val="-2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premium.</w:t>
      </w:r>
    </w:p>
    <w:p w14:paraId="0B030038" w14:textId="77777777" w:rsidR="00C658FB" w:rsidRPr="00C476FC" w:rsidRDefault="00C658FB">
      <w:pPr>
        <w:pStyle w:val="BodyText"/>
        <w:spacing w:before="6"/>
        <w:rPr>
          <w:sz w:val="20"/>
          <w:szCs w:val="20"/>
        </w:rPr>
      </w:pPr>
    </w:p>
    <w:p w14:paraId="0D2C2C0E" w14:textId="77777777" w:rsidR="00C658FB" w:rsidRPr="00C476FC" w:rsidRDefault="00D131A0">
      <w:pPr>
        <w:pStyle w:val="BodyText"/>
        <w:ind w:left="720"/>
        <w:jc w:val="both"/>
        <w:rPr>
          <w:sz w:val="20"/>
          <w:szCs w:val="20"/>
        </w:rPr>
      </w:pPr>
      <w:r w:rsidRPr="00C476FC">
        <w:rPr>
          <w:color w:val="231F20"/>
          <w:sz w:val="20"/>
          <w:szCs w:val="20"/>
        </w:rPr>
        <w:t>We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recommend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you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start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by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reflecting</w:t>
      </w:r>
      <w:r w:rsidRPr="00C476FC">
        <w:rPr>
          <w:color w:val="231F20"/>
          <w:spacing w:val="8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on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impact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current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provision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and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reviewing</w:t>
      </w:r>
      <w:r w:rsidRPr="00C476FC">
        <w:rPr>
          <w:color w:val="231F20"/>
          <w:spacing w:val="9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the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previous</w:t>
      </w:r>
      <w:r w:rsidRPr="00C476FC">
        <w:rPr>
          <w:color w:val="231F20"/>
          <w:spacing w:val="10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spend.</w:t>
      </w:r>
    </w:p>
    <w:p w14:paraId="72A2C20A" w14:textId="77777777" w:rsidR="00C658FB" w:rsidRPr="00C476FC" w:rsidRDefault="00C658FB">
      <w:pPr>
        <w:pStyle w:val="BodyText"/>
        <w:spacing w:before="6"/>
        <w:rPr>
          <w:sz w:val="20"/>
          <w:szCs w:val="20"/>
        </w:rPr>
      </w:pPr>
    </w:p>
    <w:p w14:paraId="68FAF93C" w14:textId="77777777" w:rsidR="00C658FB" w:rsidRPr="00C476FC" w:rsidRDefault="00D131A0">
      <w:pPr>
        <w:pStyle w:val="BodyText"/>
        <w:spacing w:before="1" w:line="235" w:lineRule="auto"/>
        <w:ind w:left="719" w:right="5117"/>
        <w:jc w:val="both"/>
        <w:rPr>
          <w:b/>
          <w:sz w:val="20"/>
          <w:szCs w:val="20"/>
        </w:rPr>
      </w:pPr>
      <w:r w:rsidRPr="00C476FC">
        <w:rPr>
          <w:color w:val="231F20"/>
          <w:sz w:val="20"/>
          <w:szCs w:val="20"/>
        </w:rPr>
        <w:t xml:space="preserve">Schools are required to </w:t>
      </w:r>
      <w:r w:rsidRPr="00C476FC">
        <w:rPr>
          <w:color w:val="205E9E"/>
          <w:sz w:val="20"/>
          <w:szCs w:val="20"/>
          <w:u w:val="single" w:color="205E9E"/>
        </w:rPr>
        <w:t>publish details</w:t>
      </w:r>
      <w:r w:rsidRPr="00C476FC">
        <w:rPr>
          <w:color w:val="205E9E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 how they spend this funding, including any under-spend from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 xml:space="preserve">2019/2020, as well as on the impact it has on pupils’ PE and sport participation and attainment. </w:t>
      </w:r>
      <w:r w:rsidRPr="00C476FC">
        <w:rPr>
          <w:b/>
          <w:color w:val="231F20"/>
          <w:sz w:val="20"/>
          <w:szCs w:val="20"/>
        </w:rPr>
        <w:t>All funding</w:t>
      </w:r>
      <w:r w:rsidRPr="00C476FC">
        <w:rPr>
          <w:b/>
          <w:color w:val="231F20"/>
          <w:spacing w:val="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must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be spent by 31st July</w:t>
      </w:r>
      <w:r w:rsidRPr="00C476FC">
        <w:rPr>
          <w:b/>
          <w:color w:val="231F20"/>
          <w:spacing w:val="-1"/>
          <w:sz w:val="20"/>
          <w:szCs w:val="20"/>
        </w:rPr>
        <w:t xml:space="preserve"> </w:t>
      </w:r>
      <w:r w:rsidRPr="00C476FC">
        <w:rPr>
          <w:b/>
          <w:color w:val="231F20"/>
          <w:sz w:val="20"/>
          <w:szCs w:val="20"/>
        </w:rPr>
        <w:t>2022.</w:t>
      </w:r>
    </w:p>
    <w:p w14:paraId="7F385985" w14:textId="77777777" w:rsidR="00C658FB" w:rsidRPr="00C476FC" w:rsidRDefault="00C658FB">
      <w:pPr>
        <w:pStyle w:val="BodyText"/>
        <w:spacing w:before="9"/>
        <w:rPr>
          <w:b/>
          <w:sz w:val="20"/>
          <w:szCs w:val="20"/>
        </w:rPr>
      </w:pPr>
    </w:p>
    <w:p w14:paraId="2FCF44A5" w14:textId="77777777" w:rsidR="00C658FB" w:rsidRPr="00C476FC" w:rsidRDefault="00D131A0">
      <w:pPr>
        <w:pStyle w:val="BodyText"/>
        <w:spacing w:line="235" w:lineRule="auto"/>
        <w:ind w:left="719" w:right="5056"/>
        <w:jc w:val="both"/>
        <w:rPr>
          <w:sz w:val="20"/>
          <w:szCs w:val="20"/>
        </w:rPr>
      </w:pPr>
      <w:r w:rsidRPr="00C476FC">
        <w:rPr>
          <w:color w:val="231F20"/>
          <w:spacing w:val="-2"/>
          <w:sz w:val="20"/>
          <w:szCs w:val="20"/>
        </w:rPr>
        <w:t>We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2"/>
          <w:sz w:val="20"/>
          <w:szCs w:val="20"/>
        </w:rPr>
        <w:t>recommend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2"/>
          <w:sz w:val="20"/>
          <w:szCs w:val="20"/>
        </w:rPr>
        <w:t>regularly</w:t>
      </w:r>
      <w:r w:rsidRPr="00C476FC">
        <w:rPr>
          <w:color w:val="231F20"/>
          <w:spacing w:val="-17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updating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table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and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publishing</w:t>
      </w:r>
      <w:r w:rsidRPr="00C476FC">
        <w:rPr>
          <w:color w:val="231F20"/>
          <w:spacing w:val="-17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it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on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your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website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throughout</w:t>
      </w:r>
      <w:r w:rsidRPr="00C476FC">
        <w:rPr>
          <w:color w:val="231F20"/>
          <w:spacing w:val="-17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the</w:t>
      </w:r>
      <w:r w:rsidRPr="00C476FC">
        <w:rPr>
          <w:color w:val="231F20"/>
          <w:spacing w:val="-19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year.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This</w:t>
      </w:r>
      <w:r w:rsidRPr="00C476FC">
        <w:rPr>
          <w:color w:val="231F20"/>
          <w:spacing w:val="-18"/>
          <w:sz w:val="20"/>
          <w:szCs w:val="20"/>
        </w:rPr>
        <w:t xml:space="preserve"> </w:t>
      </w:r>
      <w:r w:rsidRPr="00C476FC">
        <w:rPr>
          <w:color w:val="231F20"/>
          <w:spacing w:val="-1"/>
          <w:sz w:val="20"/>
          <w:szCs w:val="20"/>
        </w:rPr>
        <w:t>evidences</w:t>
      </w:r>
      <w:r w:rsidRPr="00C476FC">
        <w:rPr>
          <w:color w:val="231F20"/>
          <w:sz w:val="20"/>
          <w:szCs w:val="20"/>
        </w:rPr>
        <w:t xml:space="preserve"> your ongoing self-evaluation of how you are using the funding to secure maximum, sustainable impact. Final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copy must be posted on your website by the end of the academic year and no later than the 31st July 2021. To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see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an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example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of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how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to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complete the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table</w:t>
      </w:r>
      <w:r w:rsidRPr="00C476FC">
        <w:rPr>
          <w:color w:val="231F20"/>
          <w:spacing w:val="-1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please</w:t>
      </w:r>
      <w:r w:rsidRPr="00C476FC">
        <w:rPr>
          <w:color w:val="231F20"/>
          <w:spacing w:val="-2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click</w:t>
      </w:r>
      <w:r w:rsidRPr="00C476FC">
        <w:rPr>
          <w:color w:val="231F20"/>
          <w:spacing w:val="1"/>
          <w:sz w:val="20"/>
          <w:szCs w:val="20"/>
        </w:rPr>
        <w:t xml:space="preserve"> </w:t>
      </w:r>
      <w:r w:rsidRPr="00C476FC">
        <w:rPr>
          <w:color w:val="205E9E"/>
          <w:sz w:val="20"/>
          <w:szCs w:val="20"/>
          <w:u w:val="single" w:color="205E9E"/>
        </w:rPr>
        <w:t>HERE</w:t>
      </w:r>
      <w:r w:rsidRPr="00C476FC">
        <w:rPr>
          <w:color w:val="231F20"/>
          <w:sz w:val="20"/>
          <w:szCs w:val="20"/>
        </w:rPr>
        <w:t>.</w:t>
      </w:r>
    </w:p>
    <w:p w14:paraId="3D893533" w14:textId="77777777" w:rsidR="00C658FB" w:rsidRPr="00C476FC" w:rsidRDefault="00D131A0">
      <w:pPr>
        <w:pStyle w:val="BodyText"/>
        <w:tabs>
          <w:tab w:val="left" w:pos="6088"/>
        </w:tabs>
        <w:spacing w:before="96"/>
        <w:ind w:left="720"/>
        <w:jc w:val="both"/>
        <w:rPr>
          <w:sz w:val="20"/>
          <w:szCs w:val="20"/>
        </w:rPr>
      </w:pPr>
      <w:r w:rsidRPr="00C476FC">
        <w:rPr>
          <w:noProof/>
          <w:sz w:val="20"/>
          <w:szCs w:val="20"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6FC">
        <w:rPr>
          <w:noProof/>
          <w:sz w:val="20"/>
          <w:szCs w:val="20"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6FC">
        <w:rPr>
          <w:color w:val="231F20"/>
          <w:position w:val="2"/>
          <w:sz w:val="20"/>
          <w:szCs w:val="20"/>
        </w:rPr>
        <w:t>Created</w:t>
      </w:r>
      <w:r w:rsidRPr="00C476FC">
        <w:rPr>
          <w:color w:val="231F20"/>
          <w:spacing w:val="-4"/>
          <w:position w:val="2"/>
          <w:sz w:val="20"/>
          <w:szCs w:val="20"/>
        </w:rPr>
        <w:t xml:space="preserve"> </w:t>
      </w:r>
      <w:r w:rsidRPr="00C476FC">
        <w:rPr>
          <w:color w:val="231F20"/>
          <w:position w:val="2"/>
          <w:sz w:val="20"/>
          <w:szCs w:val="20"/>
        </w:rPr>
        <w:t>by:</w:t>
      </w:r>
      <w:r w:rsidRPr="00C476FC">
        <w:rPr>
          <w:color w:val="231F20"/>
          <w:position w:val="2"/>
          <w:sz w:val="20"/>
          <w:szCs w:val="20"/>
        </w:rPr>
        <w:tab/>
      </w:r>
      <w:r w:rsidRPr="00C476FC">
        <w:rPr>
          <w:color w:val="231F20"/>
          <w:sz w:val="20"/>
          <w:szCs w:val="20"/>
        </w:rPr>
        <w:t>Supported</w:t>
      </w:r>
      <w:r w:rsidRPr="00C476FC">
        <w:rPr>
          <w:color w:val="231F20"/>
          <w:spacing w:val="-4"/>
          <w:sz w:val="20"/>
          <w:szCs w:val="20"/>
        </w:rPr>
        <w:t xml:space="preserve"> </w:t>
      </w:r>
      <w:r w:rsidRPr="00C476FC">
        <w:rPr>
          <w:color w:val="231F20"/>
          <w:sz w:val="20"/>
          <w:szCs w:val="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4CB16208" w:rsidR="00C658FB" w:rsidRDefault="00FD1B26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53004705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66FFD45A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1509785E" w14:textId="7F827521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476FC">
              <w:rPr>
                <w:color w:val="231F20"/>
                <w:sz w:val="24"/>
              </w:rPr>
              <w:t>0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0C19A1EB" w:rsidR="00C658FB" w:rsidRDefault="00D131A0" w:rsidP="00C476FC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C476FC">
              <w:rPr>
                <w:color w:val="231F20"/>
                <w:sz w:val="24"/>
              </w:rPr>
              <w:t>1/22</w:t>
            </w:r>
          </w:p>
        </w:tc>
        <w:tc>
          <w:tcPr>
            <w:tcW w:w="3834" w:type="dxa"/>
          </w:tcPr>
          <w:p w14:paraId="087B0B59" w14:textId="5FF06DCD" w:rsidR="00C658FB" w:rsidRDefault="00D131A0" w:rsidP="003A342B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3A342B">
              <w:rPr>
                <w:color w:val="231F20"/>
                <w:sz w:val="24"/>
              </w:rPr>
              <w:t>17780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0CC90FFD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2023/24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3E4316C6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476FC">
              <w:rPr>
                <w:color w:val="231F20"/>
                <w:sz w:val="24"/>
              </w:rPr>
              <w:t>0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103DE59D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2022/23</w:t>
            </w:r>
          </w:p>
        </w:tc>
        <w:tc>
          <w:tcPr>
            <w:tcW w:w="3834" w:type="dxa"/>
          </w:tcPr>
          <w:p w14:paraId="064B29AF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982D383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2022/23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2023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3A7EC7A4" w14:textId="77777777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</w:p>
        </w:tc>
      </w:tr>
    </w:tbl>
    <w:p w14:paraId="0264B48F" w14:textId="6ABE727B" w:rsidR="00C658FB" w:rsidRDefault="00FD1B26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69B1F2DA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E76F0D0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 w:rsidR="00C476FC"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34015EEA" w:rsidR="00C658FB" w:rsidRDefault="00C658FB">
            <w:pPr>
              <w:pStyle w:val="TableParagraph"/>
              <w:spacing w:before="2" w:line="235" w:lineRule="auto"/>
              <w:rPr>
                <w:b/>
                <w:sz w:val="24"/>
              </w:rPr>
            </w:pPr>
          </w:p>
        </w:tc>
        <w:tc>
          <w:tcPr>
            <w:tcW w:w="3798" w:type="dxa"/>
          </w:tcPr>
          <w:p w14:paraId="41589A66" w14:textId="680A396A" w:rsidR="00C658FB" w:rsidRDefault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This was completed in the pool. </w:t>
            </w: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96E5695" w14:textId="240AA504" w:rsidR="00C658FB" w:rsidRDefault="00D131A0" w:rsidP="00C476FC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</w:tc>
        <w:tc>
          <w:tcPr>
            <w:tcW w:w="3798" w:type="dxa"/>
          </w:tcPr>
          <w:p w14:paraId="58FC538A" w14:textId="41E1D2E7" w:rsidR="00C658FB" w:rsidRDefault="00804C3A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75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27951F36" w:rsidR="00C658FB" w:rsidRDefault="00804C3A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62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56E3476E" w:rsidR="00C658FB" w:rsidRDefault="00804C3A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75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68382A9D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2746C199" w:rsidR="00C658FB" w:rsidRDefault="00FD1B26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2C111B08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E5C3309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804C3A">
              <w:t>2022/23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4852A295" w:rsidR="00C658FB" w:rsidRDefault="003A342B" w:rsidP="003A342B">
            <w:pPr>
              <w:pStyle w:val="TableParagraph"/>
              <w:spacing w:before="54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18%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04C3A" w14:paraId="0840A6B6" w14:textId="77777777" w:rsidTr="000A55A2">
        <w:trPr>
          <w:trHeight w:val="1705"/>
        </w:trPr>
        <w:tc>
          <w:tcPr>
            <w:tcW w:w="3720" w:type="dxa"/>
            <w:tcBorders>
              <w:bottom w:val="single" w:sz="4" w:space="0" w:color="auto"/>
            </w:tcBorders>
          </w:tcPr>
          <w:p w14:paraId="52B362C4" w14:textId="00FC6244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All pupils take part in 30-60 minutes of physical activity per day, with greater numbers enjoying active sessions.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D5274F6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Equipment out at breaks and lunch </w:t>
            </w:r>
          </w:p>
          <w:p w14:paraId="0F5DEC4B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Participation Monitored by Active Leader </w:t>
            </w:r>
          </w:p>
          <w:p w14:paraId="213EC00E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Maintain role of Play Leader at lunchtime</w:t>
            </w:r>
          </w:p>
          <w:p w14:paraId="46E0DD9B" w14:textId="7F5AA582" w:rsidR="00804C3A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Increase in equipment to minimise sharing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EBAF79A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5B9ADCD" w14:textId="0968FD35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Play Leader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1680</w:t>
            </w:r>
          </w:p>
          <w:p w14:paraId="3BA26C6F" w14:textId="24CB1A45" w:rsidR="00804C3A" w:rsidRDefault="00804C3A" w:rsidP="00896B13">
            <w:pPr>
              <w:pStyle w:val="TableParagraph"/>
              <w:spacing w:before="160"/>
              <w:ind w:left="34"/>
              <w:rPr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Equipment £</w:t>
            </w:r>
            <w:r w:rsidR="00896B13">
              <w:rPr>
                <w:rFonts w:ascii="Century Gothic" w:hAnsi="Century Gothic"/>
                <w:sz w:val="18"/>
                <w:szCs w:val="18"/>
              </w:rPr>
              <w:t>1500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D9B2E71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Busy lunchtimes with pupils engaged in play </w:t>
            </w:r>
          </w:p>
          <w:p w14:paraId="15516D0F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Equipment used and respected at lunchtimes </w:t>
            </w:r>
          </w:p>
          <w:p w14:paraId="2B04356E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Pupils active and enjoying time outside. </w:t>
            </w:r>
          </w:p>
          <w:p w14:paraId="6126B218" w14:textId="68BA85C1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Fewer behaviour issues.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8250FE9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Investing in resources with an annual budget </w:t>
            </w:r>
          </w:p>
          <w:p w14:paraId="20E045DF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Training opportunities for Play Leader </w:t>
            </w:r>
          </w:p>
          <w:p w14:paraId="248B1F68" w14:textId="56E548E3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Protect Active Time on timetable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3B8943E7" w:rsidR="00C658FB" w:rsidRDefault="003A342B" w:rsidP="003A342B">
            <w:pPr>
              <w:pStyle w:val="TableParagraph"/>
              <w:spacing w:before="45" w:line="255" w:lineRule="exact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11%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04C3A" w14:paraId="5E88C340" w14:textId="77777777">
        <w:trPr>
          <w:trHeight w:val="1690"/>
        </w:trPr>
        <w:tc>
          <w:tcPr>
            <w:tcW w:w="3720" w:type="dxa"/>
          </w:tcPr>
          <w:p w14:paraId="096F0697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Celebrating sport in the newsletter and on social media. Awards in collective worships and external coaches raising the standard and profile of after school sport.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Special events linked to sport and themed days around sport. </w:t>
            </w:r>
          </w:p>
          <w:p w14:paraId="566F0B04" w14:textId="2AB7F0B5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End of year awards for sporting excellence and improvement. </w:t>
            </w:r>
            <w:r w:rsidRPr="00F42EE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12CF20E2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7D066ED8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Audit sports resources and purchase new </w:t>
            </w:r>
          </w:p>
          <w:p w14:paraId="7AD73EDD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Devise and revise the action plan </w:t>
            </w:r>
          </w:p>
          <w:p w14:paraId="2E93A1CB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Run lunchtime clubs to enhance sporting opportunity</w:t>
            </w:r>
          </w:p>
          <w:p w14:paraId="70B2A5CF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Focus on staff rotas and organisation </w:t>
            </w:r>
          </w:p>
          <w:p w14:paraId="108FF7D4" w14:textId="77777777" w:rsidR="00804C3A" w:rsidRPr="00F42EE3" w:rsidRDefault="00804C3A" w:rsidP="00804C3A">
            <w:pPr>
              <w:pStyle w:val="Table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Post Sports Events and Active Day to Website and Facebook/Newsletter</w:t>
            </w:r>
          </w:p>
          <w:p w14:paraId="2F2D3673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27994B66" w14:textId="0CBD68AB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Active Co-ordinator</w:t>
            </w:r>
            <w:r w:rsidR="003A342B">
              <w:rPr>
                <w:rFonts w:ascii="Century Gothic" w:hAnsi="Century Gothic"/>
                <w:sz w:val="18"/>
                <w:szCs w:val="18"/>
              </w:rPr>
              <w:t xml:space="preserve"> Team</w:t>
            </w:r>
            <w:r w:rsidRPr="00F42EE3">
              <w:rPr>
                <w:rFonts w:ascii="Century Gothic" w:hAnsi="Century Gothic"/>
                <w:sz w:val="18"/>
                <w:szCs w:val="18"/>
              </w:rPr>
              <w:t>: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20</w:t>
            </w:r>
            <w:r w:rsidR="00896B13">
              <w:rPr>
                <w:rFonts w:ascii="Century Gothic" w:hAnsi="Century Gothic"/>
                <w:sz w:val="18"/>
                <w:szCs w:val="18"/>
              </w:rPr>
              <w:t>00</w:t>
            </w:r>
          </w:p>
          <w:p w14:paraId="748EA407" w14:textId="7E233CC7" w:rsidR="00804C3A" w:rsidRDefault="00804C3A" w:rsidP="00804C3A">
            <w:pPr>
              <w:pStyle w:val="TableParagraph"/>
              <w:spacing w:before="171"/>
              <w:ind w:left="45"/>
              <w:rPr>
                <w:sz w:val="24"/>
              </w:rPr>
            </w:pPr>
          </w:p>
        </w:tc>
        <w:tc>
          <w:tcPr>
            <w:tcW w:w="3307" w:type="dxa"/>
          </w:tcPr>
          <w:p w14:paraId="628D1038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Increase in participation </w:t>
            </w:r>
          </w:p>
          <w:p w14:paraId="130577DC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Positive attitudes in PE lessons and after school activities</w:t>
            </w:r>
          </w:p>
          <w:p w14:paraId="1F37A0F9" w14:textId="7600AD4E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13883176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Fund this each year and maintain visits. </w:t>
            </w:r>
          </w:p>
          <w:p w14:paraId="6ADE3170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Vary sporting links to improve interest in lesser known sports. </w:t>
            </w:r>
          </w:p>
          <w:p w14:paraId="342730D2" w14:textId="691B9104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Maintain high profile associated with sporting participation throughout school. </w:t>
            </w: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1BFECF0F" w:rsidR="00C658FB" w:rsidRPr="003A342B" w:rsidRDefault="003A342B" w:rsidP="003A342B">
            <w:pPr>
              <w:pStyle w:val="TableParagraph"/>
              <w:spacing w:before="23"/>
              <w:ind w:left="35"/>
              <w:jc w:val="center"/>
              <w:rPr>
                <w:sz w:val="20"/>
                <w:szCs w:val="20"/>
              </w:rPr>
            </w:pPr>
            <w:r w:rsidRPr="003A342B">
              <w:rPr>
                <w:sz w:val="20"/>
                <w:szCs w:val="20"/>
              </w:rPr>
              <w:t>3</w:t>
            </w:r>
            <w:r w:rsidR="00D131A0" w:rsidRPr="003A342B">
              <w:rPr>
                <w:sz w:val="20"/>
                <w:szCs w:val="20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662D384F" w14:textId="77777777">
        <w:trPr>
          <w:trHeight w:val="2049"/>
        </w:trPr>
        <w:tc>
          <w:tcPr>
            <w:tcW w:w="3758" w:type="dxa"/>
          </w:tcPr>
          <w:p w14:paraId="6E1BFE0C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CPD for ALL staff </w:t>
            </w:r>
          </w:p>
          <w:p w14:paraId="0D11B3FB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88918F2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New staff and PE coordinator access relevant training </w:t>
            </w:r>
          </w:p>
          <w:p w14:paraId="7EFE5DDB" w14:textId="77777777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 house training for less confident staff</w:t>
            </w:r>
          </w:p>
          <w:p w14:paraId="7B325329" w14:textId="0EDC782A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CPD resources such as the RISE gymnastics programme </w:t>
            </w:r>
          </w:p>
        </w:tc>
        <w:tc>
          <w:tcPr>
            <w:tcW w:w="1663" w:type="dxa"/>
          </w:tcPr>
          <w:p w14:paraId="54AD47D3" w14:textId="79467554" w:rsidR="00804C3A" w:rsidRDefault="00804C3A" w:rsidP="00896B13">
            <w:pPr>
              <w:pStyle w:val="TableParagraph"/>
              <w:spacing w:before="138"/>
              <w:ind w:left="53"/>
              <w:rPr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£</w:t>
            </w:r>
            <w:r w:rsidR="00896B13">
              <w:rPr>
                <w:rFonts w:ascii="Century Gothic" w:hAnsi="Century Gothic"/>
                <w:sz w:val="18"/>
                <w:szCs w:val="18"/>
              </w:rPr>
              <w:t>500</w:t>
            </w:r>
          </w:p>
        </w:tc>
        <w:tc>
          <w:tcPr>
            <w:tcW w:w="3423" w:type="dxa"/>
          </w:tcPr>
          <w:p w14:paraId="5B13CE6E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Lesson Observations </w:t>
            </w:r>
          </w:p>
          <w:p w14:paraId="21E3444E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Participation and Enjoyment </w:t>
            </w:r>
          </w:p>
          <w:p w14:paraId="26C01EDB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Pupil Interviews</w:t>
            </w:r>
          </w:p>
          <w:p w14:paraId="336C8C14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Staff Surveys </w:t>
            </w:r>
          </w:p>
          <w:p w14:paraId="16A95447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7912ED79" w14:textId="6646B0E8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Timetable sporting CPD onto Inset calendar and improve knowledge through annual skills audit. </w:t>
            </w:r>
          </w:p>
        </w:tc>
      </w:tr>
      <w:tr w:rsidR="00804C3A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804C3A" w:rsidRDefault="00804C3A" w:rsidP="00804C3A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804C3A" w:rsidRDefault="00804C3A" w:rsidP="00804C3A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804C3A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804C3A" w:rsidRDefault="00804C3A" w:rsidP="00804C3A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003D462B" w:rsidR="00804C3A" w:rsidRDefault="00FD1B26" w:rsidP="003A342B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51</w:t>
            </w:r>
            <w:r w:rsidR="003A342B">
              <w:rPr>
                <w:rFonts w:ascii="Times New Roman"/>
              </w:rPr>
              <w:t>%</w:t>
            </w:r>
          </w:p>
        </w:tc>
      </w:tr>
      <w:tr w:rsidR="00804C3A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804C3A" w:rsidRDefault="00804C3A" w:rsidP="00804C3A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804C3A" w:rsidRDefault="00804C3A" w:rsidP="00804C3A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804C3A" w:rsidRDefault="00804C3A" w:rsidP="00804C3A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04C3A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804C3A" w:rsidRDefault="00804C3A" w:rsidP="00804C3A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804C3A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804C3A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804C3A" w:rsidRDefault="00804C3A" w:rsidP="00804C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804C3A" w:rsidRDefault="00804C3A" w:rsidP="00804C3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0AEF5F6C" w14:textId="77777777">
        <w:trPr>
          <w:trHeight w:val="2172"/>
        </w:trPr>
        <w:tc>
          <w:tcPr>
            <w:tcW w:w="3758" w:type="dxa"/>
          </w:tcPr>
          <w:p w14:paraId="386B1019" w14:textId="77777777" w:rsidR="00804C3A" w:rsidRPr="00F42EE3" w:rsidRDefault="00804C3A" w:rsidP="00804C3A">
            <w:pPr>
              <w:pStyle w:val="TableParagraph"/>
              <w:spacing w:line="257" w:lineRule="exact"/>
              <w:rPr>
                <w:rFonts w:ascii="Century Gothic" w:hAnsi="Century Gothic"/>
                <w:color w:val="231F20"/>
                <w:sz w:val="18"/>
                <w:szCs w:val="18"/>
              </w:rPr>
            </w:pPr>
            <w:r w:rsidRPr="00F42EE3">
              <w:rPr>
                <w:rFonts w:ascii="Century Gothic" w:hAnsi="Century Gothic"/>
                <w:color w:val="231F20"/>
                <w:sz w:val="18"/>
                <w:szCs w:val="18"/>
              </w:rPr>
              <w:t xml:space="preserve">100% take up on ASP sports offers and other opportunities such as triathlon. </w:t>
            </w:r>
          </w:p>
          <w:p w14:paraId="7E555FDA" w14:textId="77777777" w:rsidR="00804C3A" w:rsidRPr="00F42EE3" w:rsidRDefault="00804C3A" w:rsidP="00804C3A">
            <w:pPr>
              <w:pStyle w:val="TableParagraph"/>
              <w:spacing w:line="257" w:lineRule="exact"/>
              <w:rPr>
                <w:rFonts w:ascii="Century Gothic" w:hAnsi="Century Gothic"/>
                <w:color w:val="231F20"/>
                <w:sz w:val="18"/>
                <w:szCs w:val="18"/>
              </w:rPr>
            </w:pPr>
          </w:p>
          <w:p w14:paraId="1F5F29B9" w14:textId="50D5BC54" w:rsidR="00804C3A" w:rsidRDefault="00896B13" w:rsidP="00896B13">
            <w:pPr>
              <w:pStyle w:val="TableParagraph"/>
              <w:spacing w:before="149"/>
              <w:ind w:left="0"/>
              <w:rPr>
                <w:sz w:val="24"/>
              </w:rPr>
            </w:pPr>
            <w:r>
              <w:rPr>
                <w:rFonts w:ascii="Century Gothic" w:hAnsi="Century Gothic"/>
                <w:color w:val="231F20"/>
                <w:sz w:val="18"/>
                <w:szCs w:val="18"/>
              </w:rPr>
              <w:t>Provide swimming lessons for 4 additional year groups.</w:t>
            </w:r>
          </w:p>
        </w:tc>
        <w:tc>
          <w:tcPr>
            <w:tcW w:w="3458" w:type="dxa"/>
          </w:tcPr>
          <w:p w14:paraId="5A261D79" w14:textId="77777777" w:rsidR="00804C3A" w:rsidRPr="00F42EE3" w:rsidRDefault="00804C3A" w:rsidP="00804C3A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Engage Coaches virtually or in person when RA permits at no, reduced cost or free to parents online</w:t>
            </w:r>
          </w:p>
          <w:p w14:paraId="03459F8D" w14:textId="77777777" w:rsidR="00804C3A" w:rsidRPr="00F42EE3" w:rsidRDefault="00804C3A" w:rsidP="00804C3A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Coaches used in curriculum time online</w:t>
            </w:r>
          </w:p>
          <w:p w14:paraId="2106899D" w14:textId="77777777" w:rsidR="00804C3A" w:rsidRPr="00F42EE3" w:rsidRDefault="00804C3A" w:rsidP="00804C3A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Active Leader uses Squad in touch to run programme of sports </w:t>
            </w:r>
          </w:p>
          <w:p w14:paraId="12DA1805" w14:textId="77777777" w:rsidR="00804C3A" w:rsidRPr="00F42EE3" w:rsidRDefault="00804C3A" w:rsidP="00804C3A">
            <w:pPr>
              <w:pStyle w:val="TableParagraph"/>
              <w:numPr>
                <w:ilvl w:val="0"/>
                <w:numId w:val="3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Devices used to monitor sporting opportunities and link events to SSP</w:t>
            </w:r>
          </w:p>
          <w:p w14:paraId="20D04FD0" w14:textId="77777777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25C29C46" w14:textId="434BD58C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ASP Affiliation: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2600</w:t>
            </w:r>
          </w:p>
          <w:p w14:paraId="42D0F281" w14:textId="64F41F4B" w:rsidR="00896B13" w:rsidRDefault="00896B13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046177B0" w14:textId="2D03B801" w:rsidR="00896B13" w:rsidRPr="00F42EE3" w:rsidRDefault="00896B13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Additional Swimming: £4500</w:t>
            </w:r>
          </w:p>
          <w:p w14:paraId="35F1FFE6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72929B7A" w14:textId="66C88B98" w:rsidR="00804C3A" w:rsidRDefault="00804C3A" w:rsidP="00804C3A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External Coaching for Basketball, Cricket</w:t>
            </w:r>
            <w:r w:rsidR="003A342B">
              <w:rPr>
                <w:rFonts w:ascii="Century Gothic" w:hAnsi="Century Gothic"/>
                <w:sz w:val="18"/>
                <w:szCs w:val="18"/>
              </w:rPr>
              <w:t>, Tennis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and Rugby: £2000</w:t>
            </w:r>
          </w:p>
        </w:tc>
        <w:tc>
          <w:tcPr>
            <w:tcW w:w="3423" w:type="dxa"/>
          </w:tcPr>
          <w:p w14:paraId="445D71F8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Participation </w:t>
            </w:r>
          </w:p>
          <w:p w14:paraId="4FEA1AD3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PE assessments show improved skills </w:t>
            </w:r>
          </w:p>
          <w:p w14:paraId="6313E16C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Pupil Interviews and Staff surveys </w:t>
            </w:r>
          </w:p>
          <w:p w14:paraId="0CBBE519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Performance improvements at events. </w:t>
            </w:r>
          </w:p>
          <w:p w14:paraId="7D638B02" w14:textId="1F50A309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Tracker shows 100% participation. </w:t>
            </w:r>
          </w:p>
        </w:tc>
        <w:tc>
          <w:tcPr>
            <w:tcW w:w="3076" w:type="dxa"/>
          </w:tcPr>
          <w:p w14:paraId="6ED8B6F2" w14:textId="738B5786" w:rsidR="00804C3A" w:rsidRDefault="00804C3A" w:rsidP="00804C3A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Maintain profile of sport through CCW, newsletter, social media and vary opportunities by manufacturing these where external events are not available. E.g. online tournaments, in house competitions. 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105DC4C0" w:rsidR="00C658FB" w:rsidRDefault="00FD1B26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17</w:t>
            </w:r>
            <w:bookmarkStart w:id="0" w:name="_GoBack"/>
            <w:bookmarkEnd w:id="0"/>
            <w:r w:rsidR="00D131A0"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04C3A" w14:paraId="53AC3250" w14:textId="77777777">
        <w:trPr>
          <w:trHeight w:val="2134"/>
        </w:trPr>
        <w:tc>
          <w:tcPr>
            <w:tcW w:w="3758" w:type="dxa"/>
          </w:tcPr>
          <w:p w14:paraId="5DC49C07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Monitor and include as many pupils as can be in competitive intra and inter school sport. </w:t>
            </w:r>
          </w:p>
          <w:p w14:paraId="5AA29574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Transport and kit to reduce barriers. </w:t>
            </w:r>
          </w:p>
          <w:p w14:paraId="2A4C65F9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Supply cover for staff to support events occurring in school day. </w:t>
            </w:r>
          </w:p>
          <w:p w14:paraId="5109B31A" w14:textId="4FF0CB56" w:rsidR="00804C3A" w:rsidRDefault="00804C3A" w:rsidP="00804C3A">
            <w:pPr>
              <w:pStyle w:val="TableParagraph"/>
              <w:ind w:left="0"/>
              <w:rPr>
                <w:rFonts w:ascii="Times New Roman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Technology used to improve access to online activities. </w:t>
            </w:r>
          </w:p>
        </w:tc>
        <w:tc>
          <w:tcPr>
            <w:tcW w:w="3458" w:type="dxa"/>
          </w:tcPr>
          <w:p w14:paraId="63B57FD3" w14:textId="77777777" w:rsidR="00804C3A" w:rsidRPr="00F42EE3" w:rsidRDefault="00804C3A" w:rsidP="00804C3A">
            <w:pPr>
              <w:pStyle w:val="TableParagraph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Purchase shin pads, kit </w:t>
            </w:r>
            <w:proofErr w:type="spellStart"/>
            <w:r w:rsidRPr="00F42EE3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  <w:r w:rsidRPr="00F42EE3">
              <w:rPr>
                <w:rFonts w:ascii="Century Gothic" w:hAnsi="Century Gothic"/>
                <w:sz w:val="18"/>
                <w:szCs w:val="18"/>
              </w:rPr>
              <w:t xml:space="preserve"> to allow 100% participation. </w:t>
            </w:r>
          </w:p>
          <w:p w14:paraId="44F5BCD6" w14:textId="77777777" w:rsidR="00804C3A" w:rsidRPr="00F42EE3" w:rsidRDefault="00804C3A" w:rsidP="00804C3A">
            <w:pPr>
              <w:pStyle w:val="TableParagraph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Active Leader to monitor school for participation patterns. </w:t>
            </w:r>
          </w:p>
          <w:p w14:paraId="7C28CF6C" w14:textId="225A28E6" w:rsidR="00804C3A" w:rsidRDefault="00804C3A" w:rsidP="00804C3A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IPads to analyse performance and improve coaching </w:t>
            </w:r>
          </w:p>
        </w:tc>
        <w:tc>
          <w:tcPr>
            <w:tcW w:w="1663" w:type="dxa"/>
          </w:tcPr>
          <w:p w14:paraId="5CF51F4A" w14:textId="1FC2C752" w:rsidR="00804C3A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Resources and transports to ensure a share of equipment and opportunity for all pupils: £</w:t>
            </w:r>
            <w:r w:rsidR="003A342B">
              <w:rPr>
                <w:rFonts w:ascii="Century Gothic" w:hAnsi="Century Gothic"/>
                <w:sz w:val="18"/>
                <w:szCs w:val="18"/>
              </w:rPr>
              <w:t>1500</w:t>
            </w:r>
          </w:p>
          <w:p w14:paraId="3CEE5817" w14:textId="1EB63570" w:rsidR="003A342B" w:rsidRDefault="003A342B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14:paraId="44AA606A" w14:textId="0164D64D" w:rsidR="00804C3A" w:rsidRDefault="00804C3A" w:rsidP="003A342B">
            <w:pPr>
              <w:pStyle w:val="TableParagraph"/>
              <w:spacing w:before="153"/>
              <w:ind w:left="0"/>
              <w:rPr>
                <w:sz w:val="24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Technology: £</w:t>
            </w:r>
            <w:r w:rsidR="00896B13">
              <w:rPr>
                <w:rFonts w:ascii="Century Gothic" w:hAnsi="Century Gothic"/>
                <w:sz w:val="18"/>
                <w:szCs w:val="18"/>
              </w:rPr>
              <w:t>1500</w:t>
            </w:r>
          </w:p>
        </w:tc>
        <w:tc>
          <w:tcPr>
            <w:tcW w:w="3423" w:type="dxa"/>
          </w:tcPr>
          <w:p w14:paraId="1A569DE4" w14:textId="77777777" w:rsidR="00804C3A" w:rsidRPr="00F42EE3" w:rsidRDefault="00804C3A" w:rsidP="00804C3A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 xml:space="preserve">Use of technology in PE and at sport competitions including wider opportunities and to access online competitions. </w:t>
            </w:r>
          </w:p>
          <w:p w14:paraId="574197DA" w14:textId="54BD5D72" w:rsidR="00804C3A" w:rsidRDefault="00804C3A" w:rsidP="00804C3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76" w:type="dxa"/>
          </w:tcPr>
          <w:p w14:paraId="0A6B5BC4" w14:textId="379DB7BA" w:rsidR="00804C3A" w:rsidRDefault="00804C3A" w:rsidP="00804C3A">
            <w:pPr>
              <w:pStyle w:val="TableParagraph"/>
              <w:ind w:left="0"/>
              <w:rPr>
                <w:rFonts w:ascii="Times New Roman"/>
              </w:rPr>
            </w:pPr>
            <w:r w:rsidRPr="00F42EE3">
              <w:rPr>
                <w:rFonts w:ascii="Century Gothic" w:hAnsi="Century Gothic"/>
                <w:sz w:val="18"/>
                <w:szCs w:val="18"/>
              </w:rPr>
              <w:t>Maintain profile of sport through CCW, newsletter, social media and vary opportunities by manufacturing these where external events are not available. E.g. online tournaments, in house competitions.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1CEA2" w14:textId="77777777" w:rsidR="003C5471" w:rsidRDefault="003C5471">
      <w:r>
        <w:separator/>
      </w:r>
    </w:p>
  </w:endnote>
  <w:endnote w:type="continuationSeparator" w:id="0">
    <w:p w14:paraId="2634D2D5" w14:textId="77777777" w:rsidR="003C5471" w:rsidRDefault="003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7BED" w14:textId="3587D06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1B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30C5F654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F6057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FD1B26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45380C50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0DAA7E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FD1B26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74AAC23C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1B26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204FB851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27BA" w14:textId="77777777" w:rsidR="003C5471" w:rsidRDefault="003C5471">
      <w:r>
        <w:separator/>
      </w:r>
    </w:p>
  </w:footnote>
  <w:footnote w:type="continuationSeparator" w:id="0">
    <w:p w14:paraId="2E26D1AB" w14:textId="77777777" w:rsidR="003C5471" w:rsidRDefault="003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B5971"/>
    <w:multiLevelType w:val="hybridMultilevel"/>
    <w:tmpl w:val="713A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A6442"/>
    <w:multiLevelType w:val="hybridMultilevel"/>
    <w:tmpl w:val="1CBE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94A4E"/>
    <w:multiLevelType w:val="hybridMultilevel"/>
    <w:tmpl w:val="6A525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733D3"/>
    <w:rsid w:val="003A342B"/>
    <w:rsid w:val="003C5471"/>
    <w:rsid w:val="003E11F8"/>
    <w:rsid w:val="007F183F"/>
    <w:rsid w:val="00804C3A"/>
    <w:rsid w:val="00896B13"/>
    <w:rsid w:val="00953830"/>
    <w:rsid w:val="00C46CFF"/>
    <w:rsid w:val="00C476FC"/>
    <w:rsid w:val="00C658FB"/>
    <w:rsid w:val="00D131A0"/>
    <w:rsid w:val="00EA6182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4C3A"/>
    <w:pPr>
      <w:tabs>
        <w:tab w:val="center" w:pos="4513"/>
        <w:tab w:val="right" w:pos="9026"/>
      </w:tabs>
    </w:pPr>
    <w:rPr>
      <w:lang w:eastAsia="en-GB" w:bidi="en-GB"/>
    </w:rPr>
  </w:style>
  <w:style w:type="character" w:customStyle="1" w:styleId="HeaderChar">
    <w:name w:val="Header Char"/>
    <w:basedOn w:val="DefaultParagraphFont"/>
    <w:link w:val="Header"/>
    <w:uiPriority w:val="99"/>
    <w:rsid w:val="00804C3A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Andrew Reeves</cp:lastModifiedBy>
  <cp:revision>2</cp:revision>
  <dcterms:created xsi:type="dcterms:W3CDTF">2022-09-15T10:31:00Z</dcterms:created>
  <dcterms:modified xsi:type="dcterms:W3CDTF">2022-09-15T10:31:00Z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